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4D" w:rsidRPr="00E67F0C" w:rsidRDefault="0076474D" w:rsidP="0076474D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E67F0C">
        <w:rPr>
          <w:rFonts w:eastAsia="黑体"/>
          <w:sz w:val="32"/>
          <w:szCs w:val="32"/>
        </w:rPr>
        <w:t>附件</w:t>
      </w:r>
      <w:r w:rsidRPr="00E67F0C">
        <w:rPr>
          <w:rFonts w:eastAsia="黑体"/>
          <w:sz w:val="32"/>
          <w:szCs w:val="32"/>
        </w:rPr>
        <w:t>7</w:t>
      </w:r>
    </w:p>
    <w:p w:rsidR="0076474D" w:rsidRPr="00E67F0C" w:rsidRDefault="0076474D" w:rsidP="0076474D">
      <w:pPr>
        <w:spacing w:line="580" w:lineRule="exact"/>
        <w:jc w:val="center"/>
        <w:rPr>
          <w:rFonts w:eastAsia="方正小标宋简体"/>
          <w:spacing w:val="-20"/>
          <w:sz w:val="44"/>
          <w:szCs w:val="44"/>
        </w:rPr>
      </w:pPr>
      <w:r w:rsidRPr="00E67F0C">
        <w:rPr>
          <w:rFonts w:eastAsia="方正小标宋简体"/>
          <w:spacing w:val="-20"/>
          <w:sz w:val="44"/>
          <w:szCs w:val="44"/>
        </w:rPr>
        <w:t>决赛评分标准（</w:t>
      </w:r>
      <w:r w:rsidRPr="00E67F0C">
        <w:rPr>
          <w:rFonts w:eastAsia="方正小标宋简体"/>
          <w:spacing w:val="-20"/>
          <w:sz w:val="44"/>
          <w:szCs w:val="44"/>
        </w:rPr>
        <w:t>A</w:t>
      </w:r>
      <w:r w:rsidRPr="00E67F0C">
        <w:rPr>
          <w:rFonts w:eastAsia="方正小标宋简体"/>
          <w:spacing w:val="-20"/>
          <w:sz w:val="44"/>
          <w:szCs w:val="44"/>
        </w:rPr>
        <w:t>类）</w:t>
      </w:r>
    </w:p>
    <w:tbl>
      <w:tblPr>
        <w:tblW w:w="96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415"/>
        <w:gridCol w:w="6366"/>
      </w:tblGrid>
      <w:tr w:rsidR="0076474D" w:rsidRPr="00E67F0C" w:rsidTr="00D00AFF">
        <w:trPr>
          <w:jc w:val="center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b/>
                <w:sz w:val="28"/>
                <w:szCs w:val="28"/>
              </w:rPr>
              <w:t> </w:t>
            </w:r>
            <w:r w:rsidRPr="00E67F0C"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（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30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 w:rsidRPr="00E67F0C"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 w:rsidRPr="00E67F0C">
              <w:rPr>
                <w:rFonts w:eastAsia="仿宋_GB2312"/>
                <w:bCs/>
                <w:sz w:val="28"/>
                <w:szCs w:val="28"/>
              </w:rPr>
              <w:t>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3.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对</w:t>
            </w:r>
            <w:proofErr w:type="gramStart"/>
            <w:r w:rsidRPr="00E67F0C">
              <w:rPr>
                <w:rFonts w:eastAsia="仿宋_GB2312"/>
                <w:bCs/>
                <w:sz w:val="28"/>
                <w:szCs w:val="28"/>
              </w:rPr>
              <w:t>各探索</w:t>
            </w:r>
            <w:proofErr w:type="gramEnd"/>
            <w:r w:rsidRPr="00E67F0C">
              <w:rPr>
                <w:rFonts w:eastAsia="仿宋_GB2312"/>
                <w:bCs/>
                <w:sz w:val="28"/>
                <w:szCs w:val="28"/>
              </w:rPr>
              <w:t>分析过程及结果表述准确，且与作品吻合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4.PPT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职业角色</w:t>
            </w:r>
          </w:p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模拟</w:t>
            </w:r>
          </w:p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（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30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匹配度</w:t>
            </w:r>
          </w:p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展示效果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匹配度强，能展现目标职业所需的核心能力和基本素养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有表现力，能有效调动评委和观众情绪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18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（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40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3.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76474D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74D" w:rsidRPr="00E67F0C" w:rsidRDefault="0076474D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74D" w:rsidRPr="00E67F0C" w:rsidRDefault="0076474D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4.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:rsidR="003D086D" w:rsidRDefault="0076474D">
      <w:r w:rsidRPr="00E67F0C">
        <w:rPr>
          <w:b/>
          <w:bCs/>
          <w:color w:val="333333"/>
          <w:sz w:val="32"/>
          <w:szCs w:val="32"/>
        </w:rPr>
        <w:br w:type="page"/>
      </w:r>
      <w:bookmarkStart w:id="1" w:name="_GoBack"/>
      <w:bookmarkEnd w:id="1"/>
    </w:p>
    <w:sectPr w:rsidR="003D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4D"/>
    <w:rsid w:val="003D086D"/>
    <w:rsid w:val="007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7EFA-5C1F-4800-85A9-13DC5608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2016-04-18T08:33:00Z</dcterms:created>
  <dcterms:modified xsi:type="dcterms:W3CDTF">2016-04-18T08:33:00Z</dcterms:modified>
</cp:coreProperties>
</file>